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BD36" w14:textId="409492F6" w:rsidR="00F866BE" w:rsidRPr="00050B91" w:rsidRDefault="005A1F8C" w:rsidP="00050B91">
      <w:pPr>
        <w:jc w:val="center"/>
        <w:rPr>
          <w:b/>
          <w:sz w:val="32"/>
          <w:szCs w:val="32"/>
        </w:rPr>
      </w:pPr>
      <w:r w:rsidRPr="00050B91">
        <w:rPr>
          <w:b/>
          <w:sz w:val="32"/>
          <w:szCs w:val="32"/>
        </w:rPr>
        <w:t xml:space="preserve">Motu Proprio </w:t>
      </w:r>
      <w:r w:rsidR="005E15F6" w:rsidRPr="00050B91">
        <w:rPr>
          <w:b/>
          <w:sz w:val="32"/>
          <w:szCs w:val="32"/>
        </w:rPr>
        <w:t>„</w:t>
      </w:r>
      <w:r w:rsidR="005E15F6">
        <w:rPr>
          <w:b/>
          <w:sz w:val="32"/>
          <w:szCs w:val="32"/>
        </w:rPr>
        <w:t>Communis Vita</w:t>
      </w:r>
      <w:r w:rsidR="005E15F6" w:rsidRPr="00050B91">
        <w:rPr>
          <w:b/>
          <w:sz w:val="32"/>
          <w:szCs w:val="32"/>
        </w:rPr>
        <w:t xml:space="preserve">“ vom </w:t>
      </w:r>
      <w:r w:rsidR="005E15F6">
        <w:rPr>
          <w:b/>
          <w:sz w:val="32"/>
          <w:szCs w:val="32"/>
        </w:rPr>
        <w:t>19.03.2019</w:t>
      </w:r>
      <w:r w:rsidRPr="00050B91">
        <w:rPr>
          <w:b/>
          <w:sz w:val="32"/>
          <w:szCs w:val="32"/>
        </w:rPr>
        <w:t xml:space="preserve"> </w:t>
      </w:r>
      <w:r w:rsidR="00050B91" w:rsidRPr="00050B91">
        <w:rPr>
          <w:b/>
          <w:sz w:val="32"/>
          <w:szCs w:val="32"/>
        </w:rPr>
        <w:t>(</w:t>
      </w:r>
      <w:r w:rsidRPr="00050B91">
        <w:rPr>
          <w:b/>
          <w:sz w:val="32"/>
          <w:szCs w:val="32"/>
        </w:rPr>
        <w:t>Druckvorlage</w:t>
      </w:r>
      <w:r w:rsidR="00050B91" w:rsidRPr="00050B91">
        <w:rPr>
          <w:b/>
          <w:sz w:val="32"/>
          <w:szCs w:val="32"/>
        </w:rPr>
        <w:t>)</w:t>
      </w:r>
    </w:p>
    <w:p w14:paraId="466BB55B" w14:textId="77777777" w:rsidR="005A1F8C" w:rsidRPr="00AC3CC3" w:rsidRDefault="005A1F8C">
      <w:pPr>
        <w:rPr>
          <w:sz w:val="24"/>
          <w:szCs w:val="24"/>
        </w:rPr>
      </w:pPr>
    </w:p>
    <w:tbl>
      <w:tblPr>
        <w:tblStyle w:val="Tabellenraster"/>
        <w:tblW w:w="14277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38"/>
        <w:gridCol w:w="7139"/>
      </w:tblGrid>
      <w:tr w:rsidR="003C2B7D" w:rsidRPr="00AC3CC3" w14:paraId="2DE84E29" w14:textId="77777777" w:rsidTr="00AC3CC3">
        <w:tc>
          <w:tcPr>
            <w:tcW w:w="7138" w:type="dxa"/>
          </w:tcPr>
          <w:p w14:paraId="4505C227" w14:textId="36C9BA7D" w:rsidR="005E15F6" w:rsidRPr="005E15F6" w:rsidRDefault="004E1161" w:rsidP="005E15F6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 w:rsidR="00ED3C71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5E15F6">
              <w:rPr>
                <w:rFonts w:cstheme="minorHAnsi"/>
                <w:b/>
                <w:bCs/>
                <w:sz w:val="24"/>
                <w:szCs w:val="24"/>
                <w:lang w:val="en-US"/>
              </w:rPr>
              <w:t>694</w:t>
            </w:r>
            <w:r w:rsidR="00E33956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1. </w:t>
            </w:r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Ipso facto </w:t>
            </w:r>
            <w:proofErr w:type="spellStart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>dimissus</w:t>
            </w:r>
            <w:proofErr w:type="spellEnd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ab </w:t>
            </w:r>
            <w:proofErr w:type="spellStart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>instituto</w:t>
            </w:r>
            <w:proofErr w:type="spellEnd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>habendus</w:t>
            </w:r>
            <w:proofErr w:type="spellEnd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>est</w:t>
            </w:r>
            <w:proofErr w:type="spellEnd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>sodalis</w:t>
            </w:r>
            <w:proofErr w:type="spellEnd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qui:</w:t>
            </w:r>
          </w:p>
          <w:p w14:paraId="08F6317B" w14:textId="77777777" w:rsidR="005E15F6" w:rsidRPr="005E15F6" w:rsidRDefault="005E15F6" w:rsidP="005E15F6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67D4F0F5" w14:textId="77777777" w:rsidR="005E15F6" w:rsidRPr="005E15F6" w:rsidRDefault="005E15F6" w:rsidP="005E15F6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1° a fide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catholica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notorie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defecerit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</w:p>
          <w:p w14:paraId="6F2CC676" w14:textId="77777777" w:rsidR="005E15F6" w:rsidRPr="005E15F6" w:rsidRDefault="005E15F6" w:rsidP="005E15F6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2°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matrimonium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contraxerit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vel,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etiam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civiliter tantum,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attentaverit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</w:p>
          <w:p w14:paraId="23C68671" w14:textId="77777777" w:rsidR="005E15F6" w:rsidRPr="005E15F6" w:rsidRDefault="005E15F6" w:rsidP="005E15F6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12207458" w14:textId="31510E2F" w:rsidR="005E15F6" w:rsidRPr="005E15F6" w:rsidRDefault="005E15F6" w:rsidP="005E15F6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3° a domo religiosa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illegitime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absens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fuerit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, secundum can.</w:t>
            </w:r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665</w:t>
            </w:r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§</w:t>
            </w:r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2,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duodecim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continuos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menses,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prae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oculis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habita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eiusdem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sodalis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irreperibilitate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021C1EE7" w14:textId="016D0250" w:rsidR="005E15F6" w:rsidRPr="005E15F6" w:rsidRDefault="005E15F6" w:rsidP="005E15F6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2. His in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casibus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Superior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maior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cum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suo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consilio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nulla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mora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interposita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collectis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probationibus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declarationem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facti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emittat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ut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iuridice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constet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dimissione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0EB6A520" w14:textId="34A31DCC" w:rsidR="003C2B7D" w:rsidRPr="00AC3CC3" w:rsidRDefault="005E15F6" w:rsidP="005E15F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3. In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casu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quo in §</w:t>
            </w:r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1</w:t>
            </w:r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n.</w:t>
            </w:r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3,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talis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declaratio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ut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iuridice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constet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, a Sancta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Sede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confirmari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debet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quod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ad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instituta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iuris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dioecesani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attinet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confirmatio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principis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s</w:t>
            </w: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edis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Episcopum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spectat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35951E44" w14:textId="1ADC6C2A" w:rsidR="005E15F6" w:rsidRPr="005E15F6" w:rsidRDefault="004E1161" w:rsidP="005E15F6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 w:rsidR="00ED3C71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694</w:t>
            </w:r>
            <w:r w:rsidR="00E33956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1. </w:t>
            </w:r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Ein </w:t>
            </w:r>
            <w:proofErr w:type="spellStart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>Mitglied</w:t>
            </w:r>
            <w:proofErr w:type="spellEnd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gilt </w:t>
            </w:r>
            <w:proofErr w:type="spellStart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>als</w:t>
            </w:r>
            <w:proofErr w:type="spellEnd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>ohne</w:t>
            </w:r>
            <w:proofErr w:type="spellEnd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W</w:t>
            </w:r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>eiteres</w:t>
            </w:r>
            <w:proofErr w:type="spellEnd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>aus</w:t>
            </w:r>
            <w:proofErr w:type="spellEnd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>Institut</w:t>
            </w:r>
            <w:proofErr w:type="spellEnd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>entlassen</w:t>
            </w:r>
            <w:proofErr w:type="spellEnd"/>
            <w:r w:rsidR="005E15F6" w:rsidRPr="005E15F6">
              <w:rPr>
                <w:rFonts w:cstheme="minorHAnsi"/>
                <w:bCs/>
                <w:sz w:val="24"/>
                <w:szCs w:val="24"/>
                <w:lang w:val="en-US"/>
              </w:rPr>
              <w:t>, das:</w:t>
            </w:r>
          </w:p>
          <w:p w14:paraId="34B6D904" w14:textId="77777777" w:rsidR="005E15F6" w:rsidRPr="005E15F6" w:rsidRDefault="005E15F6" w:rsidP="005E15F6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1°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offenkundig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vom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katholischen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Glauben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abgefallen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</w:p>
          <w:p w14:paraId="65B03EC6" w14:textId="77777777" w:rsidR="005E15F6" w:rsidRPr="005E15F6" w:rsidRDefault="005E15F6" w:rsidP="005E15F6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2°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eine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geschlossen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Abschluss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solchen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auch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nur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Form der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Zivilehe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versucht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hat;</w:t>
            </w:r>
          </w:p>
          <w:p w14:paraId="35652758" w14:textId="15EC9D5F" w:rsidR="005E15F6" w:rsidRPr="005E15F6" w:rsidRDefault="005E15F6" w:rsidP="005E15F6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3° von der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Ordensniederlassung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 xml:space="preserve">in </w:t>
            </w:r>
            <w:proofErr w:type="spellStart"/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Ansehung</w:t>
            </w:r>
            <w:proofErr w:type="spellEnd"/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Unauffindbarkeit</w:t>
            </w:r>
            <w:proofErr w:type="spellEnd"/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dieses </w:t>
            </w:r>
            <w:proofErr w:type="spellStart"/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Ordensmitglieds</w:t>
            </w:r>
            <w:proofErr w:type="spellEnd"/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 xml:space="preserve"> für </w:t>
            </w:r>
            <w:proofErr w:type="spellStart"/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zwölf</w:t>
            </w:r>
            <w:proofErr w:type="spellEnd"/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ununterbrochene</w:t>
            </w:r>
            <w:proofErr w:type="spellEnd"/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Monate</w:t>
            </w:r>
            <w:proofErr w:type="spellEnd"/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3956" w:rsidRPr="005E15F6">
              <w:rPr>
                <w:rFonts w:cstheme="minorHAnsi"/>
                <w:bCs/>
                <w:sz w:val="24"/>
                <w:szCs w:val="24"/>
                <w:lang w:val="en-US"/>
              </w:rPr>
              <w:t>im</w:t>
            </w:r>
            <w:proofErr w:type="spellEnd"/>
            <w:r w:rsidR="00E33956"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3956" w:rsidRPr="005E15F6">
              <w:rPr>
                <w:rFonts w:cstheme="minorHAnsi"/>
                <w:bCs/>
                <w:sz w:val="24"/>
                <w:szCs w:val="24"/>
                <w:lang w:val="en-US"/>
              </w:rPr>
              <w:t>Sinne</w:t>
            </w:r>
            <w:proofErr w:type="spellEnd"/>
            <w:r w:rsidR="00E33956"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 xml:space="preserve">von </w:t>
            </w:r>
            <w:r w:rsidR="00E33956" w:rsidRPr="005E15F6">
              <w:rPr>
                <w:rFonts w:cstheme="minorHAnsi"/>
                <w:bCs/>
                <w:sz w:val="24"/>
                <w:szCs w:val="24"/>
                <w:lang w:val="en-US"/>
              </w:rPr>
              <w:t>can.</w:t>
            </w:r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E33956" w:rsidRPr="005E15F6">
              <w:rPr>
                <w:rFonts w:cstheme="minorHAnsi"/>
                <w:bCs/>
                <w:sz w:val="24"/>
                <w:szCs w:val="24"/>
                <w:lang w:val="en-US"/>
              </w:rPr>
              <w:t>665</w:t>
            </w:r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="00E33956"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§</w:t>
            </w:r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E33956"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2 </w:t>
            </w:r>
            <w:proofErr w:type="spellStart"/>
            <w:r w:rsidR="00E33956" w:rsidRPr="005E15F6">
              <w:rPr>
                <w:rFonts w:cstheme="minorHAnsi"/>
                <w:bCs/>
                <w:sz w:val="24"/>
                <w:szCs w:val="24"/>
                <w:lang w:val="en-US"/>
              </w:rPr>
              <w:t>unrechtmäßig</w:t>
            </w:r>
            <w:proofErr w:type="spellEnd"/>
            <w:r w:rsidR="00E33956"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abwesend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war.</w:t>
            </w:r>
          </w:p>
          <w:p w14:paraId="04A326A6" w14:textId="29EB6DDD" w:rsidR="005E15F6" w:rsidRPr="005E15F6" w:rsidRDefault="005E15F6" w:rsidP="005E15F6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2. In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diesen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Fällen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hat der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höhere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Obere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mit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seinem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Rat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unverzüglich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Sammlung</w:t>
            </w:r>
            <w:proofErr w:type="spellEnd"/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der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Beweise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Tatbestand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festzustellen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damit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Entlassung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rechtlich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feststeht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33DC8508" w14:textId="5E95DFD7" w:rsidR="003C2B7D" w:rsidRPr="00AC3CC3" w:rsidRDefault="005E15F6" w:rsidP="005E15F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E3395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3. In dem in §</w:t>
            </w:r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1, </w:t>
            </w:r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>n</w:t>
            </w: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3 </w:t>
            </w:r>
            <w:proofErr w:type="spellStart"/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>genannten</w:t>
            </w:r>
            <w:proofErr w:type="spellEnd"/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Fall muss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diese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>Erklärung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>damit</w:t>
            </w:r>
            <w:proofErr w:type="spellEnd"/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>sie</w:t>
            </w:r>
            <w:proofErr w:type="spellEnd"/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>rechtlich</w:t>
            </w:r>
            <w:proofErr w:type="spellEnd"/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>feststeht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vom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Heiligen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Stuhl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bestätigt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werden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>soweit</w:t>
            </w:r>
            <w:proofErr w:type="spellEnd"/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 xml:space="preserve"> es </w:t>
            </w:r>
            <w:proofErr w:type="spellStart"/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>sich</w:t>
            </w:r>
            <w:proofErr w:type="spellEnd"/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 xml:space="preserve"> um </w:t>
            </w: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Institute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diözesanen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Rechts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>handelt</w:t>
            </w:r>
            <w:proofErr w:type="spellEnd"/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>kommt</w:t>
            </w:r>
            <w:proofErr w:type="spellEnd"/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Bestätigung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 xml:space="preserve">dem </w:t>
            </w:r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 xml:space="preserve">Bischof des </w:t>
            </w:r>
            <w:proofErr w:type="spellStart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Hauptsitzes</w:t>
            </w:r>
            <w:proofErr w:type="spellEnd"/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2ECD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5E15F6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ED3C71" w:rsidRPr="00AC3CC3" w14:paraId="4EFFA15A" w14:textId="77777777" w:rsidTr="00CF672A">
        <w:tc>
          <w:tcPr>
            <w:tcW w:w="7138" w:type="dxa"/>
          </w:tcPr>
          <w:p w14:paraId="6E975A82" w14:textId="53CA56BD" w:rsidR="00ED3C71" w:rsidRPr="00AC3CC3" w:rsidRDefault="00ED3C71" w:rsidP="00CF672A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729</w:t>
            </w:r>
            <w:r w:rsidR="0079730C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Sodalis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ab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instituto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dimittitur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normam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cann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694</w:t>
            </w:r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§</w:t>
            </w:r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1, </w:t>
            </w:r>
            <w:proofErr w:type="spellStart"/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nn</w:t>
            </w:r>
            <w:proofErr w:type="spellEnd"/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. </w:t>
            </w:r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1 et 2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atque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695;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constitutiones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praeterea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determinent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alias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causas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dimissionis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dummodo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sint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proportionate graves,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externae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imputabiles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iuridice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comprobatae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atque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modus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procedendi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servetur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cann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697</w:t>
            </w:r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700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statutus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Dimisso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applicatur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praescriptum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can.</w:t>
            </w:r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701.</w:t>
            </w:r>
          </w:p>
        </w:tc>
        <w:tc>
          <w:tcPr>
            <w:tcW w:w="7139" w:type="dxa"/>
          </w:tcPr>
          <w:p w14:paraId="0FD08EB6" w14:textId="5F37B1FD" w:rsidR="00ED3C71" w:rsidRPr="00AC3CC3" w:rsidRDefault="00ED3C71" w:rsidP="00CF672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729</w:t>
            </w:r>
            <w:r w:rsidR="0079730C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Ein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Mitglied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aus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Institut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entlassen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gemäß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cann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694</w:t>
            </w:r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§</w:t>
            </w:r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1, </w:t>
            </w:r>
            <w:proofErr w:type="spellStart"/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nn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1 und 2 </w:t>
            </w:r>
            <w:proofErr w:type="spellStart"/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sowie</w:t>
            </w:r>
            <w:proofErr w:type="spellEnd"/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695; die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Konstitutionen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haben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überdies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andere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Entlassungsgründe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festzulegen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vorausgesetzt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dass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diese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entsprechend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schwer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a</w:t>
            </w:r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ußen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Erscheinung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getreten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zurechenbar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rechtlich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bewiesen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die in den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cann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697</w:t>
            </w:r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700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festg</w:t>
            </w:r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esetzte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Vorgehensweise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ge</w:t>
            </w:r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halten</w:t>
            </w:r>
            <w:proofErr w:type="spellEnd"/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. Auf d</w:t>
            </w:r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as</w:t>
            </w:r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entlassene</w:t>
            </w:r>
            <w:proofErr w:type="spellEnd"/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Mitglied</w:t>
            </w:r>
            <w:proofErr w:type="spellEnd"/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Vorschrift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can.</w:t>
            </w:r>
            <w:r w:rsidR="0079730C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 xml:space="preserve">701 </w:t>
            </w:r>
            <w:proofErr w:type="spellStart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angewendet</w:t>
            </w:r>
            <w:proofErr w:type="spellEnd"/>
            <w:r w:rsidRPr="00ED3C7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</w:tbl>
    <w:p w14:paraId="440B54F5" w14:textId="77777777" w:rsidR="005A1F8C" w:rsidRPr="00046CA3" w:rsidRDefault="005A1F8C">
      <w:pPr>
        <w:rPr>
          <w:sz w:val="24"/>
          <w:szCs w:val="24"/>
        </w:rPr>
      </w:pPr>
    </w:p>
    <w:sectPr w:rsidR="005A1F8C" w:rsidRPr="00046CA3" w:rsidSect="005A1F8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B172" w14:textId="77777777" w:rsidR="0079393E" w:rsidRDefault="0079393E" w:rsidP="005A1F8C">
      <w:pPr>
        <w:spacing w:after="0" w:line="240" w:lineRule="auto"/>
      </w:pPr>
      <w:r>
        <w:separator/>
      </w:r>
    </w:p>
  </w:endnote>
  <w:endnote w:type="continuationSeparator" w:id="0">
    <w:p w14:paraId="7ADC5A31" w14:textId="77777777" w:rsidR="0079393E" w:rsidRDefault="0079393E" w:rsidP="005A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FBFF" w14:textId="77777777" w:rsidR="0079393E" w:rsidRDefault="0079393E" w:rsidP="005A1F8C">
      <w:pPr>
        <w:spacing w:after="0" w:line="240" w:lineRule="auto"/>
      </w:pPr>
      <w:r>
        <w:separator/>
      </w:r>
    </w:p>
  </w:footnote>
  <w:footnote w:type="continuationSeparator" w:id="0">
    <w:p w14:paraId="17307637" w14:textId="77777777" w:rsidR="0079393E" w:rsidRDefault="0079393E" w:rsidP="005A1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8C"/>
    <w:rsid w:val="00046CA3"/>
    <w:rsid w:val="00050B91"/>
    <w:rsid w:val="001C1949"/>
    <w:rsid w:val="00242BE3"/>
    <w:rsid w:val="00251AD2"/>
    <w:rsid w:val="003C2B7D"/>
    <w:rsid w:val="00430F3E"/>
    <w:rsid w:val="004B36C5"/>
    <w:rsid w:val="004E1161"/>
    <w:rsid w:val="004E3278"/>
    <w:rsid w:val="00512ECD"/>
    <w:rsid w:val="00546582"/>
    <w:rsid w:val="00593352"/>
    <w:rsid w:val="005A1F8C"/>
    <w:rsid w:val="005E15F6"/>
    <w:rsid w:val="00686FDA"/>
    <w:rsid w:val="006D0AD8"/>
    <w:rsid w:val="0071609D"/>
    <w:rsid w:val="0073194E"/>
    <w:rsid w:val="0079393E"/>
    <w:rsid w:val="0079730C"/>
    <w:rsid w:val="007A1F9A"/>
    <w:rsid w:val="008E2DB1"/>
    <w:rsid w:val="0093498B"/>
    <w:rsid w:val="00981458"/>
    <w:rsid w:val="009B3172"/>
    <w:rsid w:val="009C72FC"/>
    <w:rsid w:val="009E5E8C"/>
    <w:rsid w:val="00A04012"/>
    <w:rsid w:val="00AC3CC3"/>
    <w:rsid w:val="00B07E07"/>
    <w:rsid w:val="00BC6A0A"/>
    <w:rsid w:val="00BD74FE"/>
    <w:rsid w:val="00CB35D2"/>
    <w:rsid w:val="00D919C6"/>
    <w:rsid w:val="00DA25C2"/>
    <w:rsid w:val="00E33956"/>
    <w:rsid w:val="00E36A38"/>
    <w:rsid w:val="00E81062"/>
    <w:rsid w:val="00ED3C71"/>
    <w:rsid w:val="00F45740"/>
    <w:rsid w:val="00F708CC"/>
    <w:rsid w:val="00F8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59F1"/>
  <w15:chartTrackingRefBased/>
  <w15:docId w15:val="{98A2FAB0-5AA7-40C7-A247-D52FCD4E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106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DEE9-AF17-43D5-A138-577A9984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s317857</dc:creator>
  <cp:keywords/>
  <dc:description/>
  <cp:lastModifiedBy>Franziska Müller</cp:lastModifiedBy>
  <cp:revision>6</cp:revision>
  <cp:lastPrinted>2018-03-20T18:03:00Z</cp:lastPrinted>
  <dcterms:created xsi:type="dcterms:W3CDTF">2022-03-02T13:44:00Z</dcterms:created>
  <dcterms:modified xsi:type="dcterms:W3CDTF">2022-03-07T11:14:00Z</dcterms:modified>
</cp:coreProperties>
</file>